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C245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АДМИНИСТРАЦИЯ ЛОПЬЯЛЬСКОГО СЕЛЬСКОГО ПОСЕЛЕНИЯ</w:t>
      </w: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C245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УРЖУМСКОГО РАЙОНА КИРОВСКОЙ ОБЛАСТИ</w:t>
      </w: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7C2451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От 15 декабря 2023 года № 6</w:t>
      </w:r>
      <w:r w:rsidRPr="007C2451"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</w:p>
    <w:p w:rsidR="007C2451" w:rsidRPr="007C2451" w:rsidRDefault="007C2451" w:rsidP="007C245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C24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Село </w:t>
      </w:r>
      <w:proofErr w:type="spellStart"/>
      <w:r w:rsidRPr="007C2451">
        <w:rPr>
          <w:rFonts w:ascii="Times New Roman" w:eastAsia="Calibri" w:hAnsi="Times New Roman" w:cs="Times New Roman"/>
          <w:sz w:val="28"/>
          <w:szCs w:val="28"/>
          <w:lang w:eastAsia="ar-SA"/>
        </w:rPr>
        <w:t>Лопьял</w:t>
      </w:r>
      <w:proofErr w:type="spellEnd"/>
      <w:r w:rsidRPr="007C245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Уржумского района Кировской области</w:t>
      </w:r>
    </w:p>
    <w:p w:rsidR="007C2451" w:rsidRPr="007C2451" w:rsidRDefault="007C2451" w:rsidP="007C2451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Порядка разработки и утверждения бюджетного прогноза Лопьяльского сельского поселения на долгосрочный период</w:t>
      </w:r>
    </w:p>
    <w:p w:rsidR="007C2451" w:rsidRPr="007C2451" w:rsidRDefault="007C2451" w:rsidP="007C2451">
      <w:pPr>
        <w:spacing w:before="48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</w:t>
      </w:r>
      <w:hyperlink r:id="rId7" w:history="1">
        <w:r w:rsidRPr="007C2451">
          <w:rPr>
            <w:rFonts w:ascii="Times New Roman" w:eastAsia="Times New Roman" w:hAnsi="Times New Roman" w:cs="Times New Roman"/>
            <w:sz w:val="28"/>
            <w:szCs w:val="28"/>
          </w:rPr>
          <w:t>статьи 170.</w:t>
        </w:r>
      </w:hyperlink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C2451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 и пункта 4.2 статьи 18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«О </w:t>
      </w:r>
      <w:r w:rsidRPr="007C24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2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бюджетном процессе в муниципальном образовании Лопьяльское сельское поселение Уржумского района Кировской области» в новой редакции, утвержденное решением Лопьяльской  сельской Думы от 15.11.2013 № 6/13</w:t>
      </w:r>
      <w:r w:rsidRPr="007C24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Лопьяльского сельского поселения ПОСТАНОВЛЯЕТ:</w:t>
      </w:r>
    </w:p>
    <w:p w:rsidR="007C2451" w:rsidRPr="007C2451" w:rsidRDefault="007C2451" w:rsidP="007C245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51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разработки и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тверждения бюджетного прогноза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Лопьяльского сельского поселения на долгосрочный период </w:t>
      </w:r>
      <w:r w:rsidRPr="007C2451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7C2451" w:rsidRPr="007C2451" w:rsidRDefault="007C2451" w:rsidP="007C2451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</w:t>
      </w: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главным распорядителям бюджетных средств бюджета Лопьяльского сельского поселения, осуществляющим полномочия главных администраторов доходов бюджетов бюджетной системы Кировской области, и органам местного самоуправления сельского поселения, входящих в состав Лопьяльского сельского поселения представлять в администрацию Лопьяльского сельского поселения сведения, необходимые для разработки бюджетного прогноза Лопьяльского сельского поселения на долгосрочный период, по отдельным запросам администрации Лопьяльского сельского поселения.</w:t>
      </w:r>
    </w:p>
    <w:p w:rsidR="007C2451" w:rsidRPr="007C2451" w:rsidRDefault="007C2451" w:rsidP="007C24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3.Контроль за исполнением настоящего постановления возлагаю на себя. </w:t>
      </w:r>
    </w:p>
    <w:p w:rsidR="007C2451" w:rsidRPr="007C2451" w:rsidRDefault="007C2451" w:rsidP="007C2451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Лопьяльского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   А. В. Комиссарова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Лопьяльского сельского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от 15.12.2023 № 6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 прогноза</w:t>
      </w:r>
    </w:p>
    <w:p w:rsidR="007C2451" w:rsidRPr="007C2451" w:rsidRDefault="007C2451" w:rsidP="007C2451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Лопьяльского сельского поселения на долгосрочный период</w:t>
      </w:r>
    </w:p>
    <w:p w:rsidR="007C2451" w:rsidRPr="007C2451" w:rsidRDefault="007C2451" w:rsidP="007C245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разработки и утверждения бюджетного прогноза Лопьяльского сельского поселения на долгосрочный период устанавливает порядок разработки и утверждения, период действия, требования к составу и содержанию бюджетного прогноза Лопьяльского сельского поселения на долгосрочный период (далее – бюджетный прогноз), а также мониторингу и контролю его реализации.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Бюджетный прогноз разрабатывается и утверждается на шесть лет.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 утверждается постановлением администрации Буйского сельского поселения.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бюджетного прогноза </w:t>
      </w:r>
      <w:proofErr w:type="gramStart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администрацией</w:t>
      </w:r>
      <w:proofErr w:type="gramEnd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Буйского сельского поселения</w:t>
      </w:r>
      <w:r w:rsidRPr="007C245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администрация) на основе прогноза социально-экономического развития Лопьяльского сельского поселения</w:t>
      </w:r>
      <w:r w:rsidRPr="007C245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долгосрочный период.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Бюджетный прогноз составляется по прилагаемой форме. 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формирования бюджетного прогноза направляются в администрацию: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срок до 15 сентября текущего финансового года прогноз показателей на период действия прогноза социально-экономического развития Лопьяльского сельского поселения: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фонда оплаты труда; 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остаточной балансовой стоимости основных фондов;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 физического объема платных услуг населению;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индекса потребительских цен;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индекса-дефлятора объема платных услуг;</w:t>
      </w:r>
    </w:p>
    <w:p w:rsidR="007C2451" w:rsidRPr="007C2451" w:rsidRDefault="007C2451" w:rsidP="007C245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среднемесячной номинальной начисленной заработной платы на одного работника.</w:t>
      </w:r>
    </w:p>
    <w:p w:rsidR="007C2451" w:rsidRPr="007C2451" w:rsidRDefault="007C2451" w:rsidP="007C245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срок до22декабря текущего финансового года прогноз социально-экономического развития Лопьяльского сельского поселения с пояснительной запиской, содержащей обоснование параметров прогноза (его корректировку с пояснительной запиской, содержащей в том числе сопоставление с ранее утвержденными параметрами с указанием причин и факторов утвержденных изменений).</w:t>
      </w:r>
    </w:p>
    <w:p w:rsidR="007C2451" w:rsidRPr="007C2451" w:rsidRDefault="007C2451" w:rsidP="007C24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Администрация вправе запрашивать у главных распорядителей средств бюджета Лопьяльского сельского поселения сведения, необходимые для разработки бюджетного прогноза.</w:t>
      </w:r>
    </w:p>
    <w:p w:rsidR="007C2451" w:rsidRPr="007C2451" w:rsidRDefault="007C2451" w:rsidP="007C24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Проект бюджетного прогноза выносится на общественное обсуждение, проводимое в порядке, определенном администрацией Лопьяльского сельского поселения.</w:t>
      </w:r>
    </w:p>
    <w:p w:rsidR="007C2451" w:rsidRPr="007C2451" w:rsidRDefault="007C2451" w:rsidP="007C2451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Администрация:</w:t>
      </w:r>
    </w:p>
    <w:p w:rsidR="007C2451" w:rsidRPr="007C2451" w:rsidRDefault="007C2451" w:rsidP="007C2451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8.1.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срок до 22 декабря текущего финансового года направляет в </w:t>
      </w:r>
      <w:proofErr w:type="spellStart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Лопьяльскую</w:t>
      </w:r>
      <w:proofErr w:type="spellEnd"/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Думу проект бюджетного прогноза (проект изменений бюджетного прогноза) (за исключением показателей финансового обеспечения муниципальных программ Лопьяльского сельского поселения) в составе документов и материалов, представляемых одновременно с проектом решения Лопьяльской сельской Думы «О бюджете Лопьяльского сельского поселения» на очередной финансовый год.</w:t>
      </w:r>
    </w:p>
    <w:p w:rsidR="007C2451" w:rsidRPr="007C2451" w:rsidRDefault="007C2451" w:rsidP="007C24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срок, не превышающий двух месяцев со дня официального опубликования решения Лопьяльской сельской Думы «О бюджете Лопьяльского сельского поселения» на очередной финансовый год, представляет в администрацию Лопьяльского сельского поселения на рассмотрение и утверждение проект бюджетного прогноза (проект изменений бюджетного прогноза).</w:t>
      </w:r>
    </w:p>
    <w:p w:rsidR="007C2451" w:rsidRPr="007C2451" w:rsidRDefault="007C2451" w:rsidP="007C2451">
      <w:pPr>
        <w:widowControl w:val="0"/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Мониторинг и контроль реализации бюджетного прогноза осуществляется администрацией ежегодно. Результаты мониторинга и контроля отражаются в пояснительной записке к годовому отчету об исполнении бюджета Лопьяльского сельского поселения за отчетный год в составе документов и материалов, представляемых одновременно с годовым отчетом об исполнении бюджета Лопьяльского сельского поселения за отчетный год. 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результаты мониторинга: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направляются в администрацию Лопьяльского сельского поселения для подготовки ежегодного отчета главы Лопьяльского сельского поселения о результатах деятельности администрации Лопьяльского сельского поселения в соответствии с порядком, утвержденным администрацией Лопьяльского сельского поселения;</w:t>
      </w:r>
    </w:p>
    <w:p w:rsidR="007C2451" w:rsidRPr="007C2451" w:rsidRDefault="007C2451" w:rsidP="007C24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на официальном сайте Лопьяльского сельского поселения в информационно-телекоммуникационной сети «Интернет» в составе документов и материалов к годовому отчету об исполнении бюджета Лопьяльского сельского поселения за отчетный год, за исключением сведений, отнесенных к государственной, коммерческой, служебной и иной охраняемой законом тайне</w:t>
      </w:r>
      <w:r w:rsidRPr="007C245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bookmarkStart w:id="0" w:name="_GoBack"/>
      <w:bookmarkEnd w:id="0"/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tabs>
          <w:tab w:val="left" w:pos="1360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C2451" w:rsidRPr="007C2451" w:rsidRDefault="007C2451" w:rsidP="007C2451">
      <w:pPr>
        <w:tabs>
          <w:tab w:val="left" w:pos="13608"/>
          <w:tab w:val="left" w:pos="13750"/>
          <w:tab w:val="left" w:pos="14884"/>
        </w:tabs>
        <w:spacing w:after="0" w:line="240" w:lineRule="auto"/>
        <w:ind w:right="25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7C2451" w:rsidRPr="007C2451" w:rsidRDefault="007C2451" w:rsidP="007C245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Бюджетный прогноз ЛопьяльСКОГО СЕЛЬСКОГО ПОСЕЛЕНИЯ</w:t>
      </w: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________________ годы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451">
        <w:rPr>
          <w:rFonts w:ascii="Times New Roman" w:eastAsia="Calibri" w:hAnsi="Times New Roman" w:cs="Times New Roman"/>
          <w:sz w:val="28"/>
          <w:szCs w:val="28"/>
        </w:rPr>
        <w:t xml:space="preserve">Основные подходы к формированию бюджетной </w:t>
      </w:r>
      <w:proofErr w:type="gramStart"/>
      <w:r w:rsidRPr="007C2451">
        <w:rPr>
          <w:rFonts w:ascii="Times New Roman" w:eastAsia="Calibri" w:hAnsi="Times New Roman" w:cs="Times New Roman"/>
          <w:sz w:val="28"/>
          <w:szCs w:val="28"/>
        </w:rPr>
        <w:t>политики  на</w:t>
      </w:r>
      <w:proofErr w:type="gramEnd"/>
      <w:r w:rsidRPr="007C2451">
        <w:rPr>
          <w:rFonts w:ascii="Times New Roman" w:eastAsia="Calibri" w:hAnsi="Times New Roman" w:cs="Times New Roman"/>
          <w:sz w:val="28"/>
          <w:szCs w:val="28"/>
        </w:rPr>
        <w:t xml:space="preserve"> долгосрочный период</w:t>
      </w:r>
      <w:r w:rsidRPr="007C2451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customMarkFollows="1" w:id="1"/>
        <w:t>*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numPr>
          <w:ilvl w:val="0"/>
          <w:numId w:val="2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451">
        <w:rPr>
          <w:rFonts w:ascii="Times New Roman" w:eastAsia="Calibri" w:hAnsi="Times New Roman" w:cs="Times New Roman"/>
          <w:sz w:val="28"/>
          <w:szCs w:val="28"/>
        </w:rPr>
        <w:t>Прогноз основных характеристик бюджета Лопьяльского сельского поселения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5"/>
        <w:gridCol w:w="966"/>
        <w:gridCol w:w="966"/>
        <w:gridCol w:w="966"/>
        <w:gridCol w:w="966"/>
        <w:gridCol w:w="967"/>
        <w:gridCol w:w="966"/>
      </w:tblGrid>
      <w:tr w:rsidR="007C2451" w:rsidRPr="007C2451" w:rsidTr="00461476">
        <w:tc>
          <w:tcPr>
            <w:tcW w:w="3425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7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Доходы – всего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 Налоговые доходы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1.2. Неналоговые доходы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1.3. Безвозмездные</w:t>
            </w:r>
          </w:p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Расходы – всего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расходы на обслуживание муниципального долга Лопьяльского сельского поселения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Дефицит (профицит) – всего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 Муниципальный долг Лопьяльского сельского поселения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5" w:type="dxa"/>
          </w:tcPr>
          <w:p w:rsidR="007C2451" w:rsidRPr="007C2451" w:rsidRDefault="007C2451" w:rsidP="007C24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% к общему годовому объему доходов бюджета Лопьяльского сельского поселения без учета объема безвозмездных поступлений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numPr>
          <w:ilvl w:val="0"/>
          <w:numId w:val="2"/>
        </w:numPr>
        <w:spacing w:after="0" w:line="276" w:lineRule="auto"/>
        <w:ind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C2451">
        <w:rPr>
          <w:rFonts w:ascii="Times New Roman" w:eastAsia="Calibri" w:hAnsi="Times New Roman" w:cs="Times New Roman"/>
          <w:sz w:val="28"/>
          <w:szCs w:val="28"/>
        </w:rPr>
        <w:t>Показатели финансового обеспечения муниципальных программ Лопьяльского сельского поселения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7"/>
        <w:gridCol w:w="966"/>
        <w:gridCol w:w="965"/>
        <w:gridCol w:w="965"/>
        <w:gridCol w:w="966"/>
        <w:gridCol w:w="967"/>
        <w:gridCol w:w="966"/>
      </w:tblGrid>
      <w:tr w:rsidR="007C2451" w:rsidRPr="007C2451" w:rsidTr="00461476">
        <w:tc>
          <w:tcPr>
            <w:tcW w:w="3427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5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5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7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  <w:tc>
          <w:tcPr>
            <w:tcW w:w="966" w:type="dxa"/>
            <w:vAlign w:val="center"/>
          </w:tcPr>
          <w:p w:rsidR="007C2451" w:rsidRPr="007C2451" w:rsidRDefault="007C2451" w:rsidP="007C2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год</w:t>
            </w:r>
          </w:p>
        </w:tc>
      </w:tr>
      <w:tr w:rsidR="007C2451" w:rsidRPr="007C2451" w:rsidTr="00461476">
        <w:tc>
          <w:tcPr>
            <w:tcW w:w="3427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Программные расходы – всего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7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Муниципальная прог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рамма 1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7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Муниципальная про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грамма 2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2451" w:rsidRPr="007C2451" w:rsidTr="00461476">
        <w:tc>
          <w:tcPr>
            <w:tcW w:w="3427" w:type="dxa"/>
          </w:tcPr>
          <w:p w:rsidR="007C2451" w:rsidRPr="007C2451" w:rsidRDefault="007C2451" w:rsidP="007C24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Муниципальная про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 xml:space="preserve">грамма </w:t>
            </w:r>
            <w:r w:rsidRPr="007C245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5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7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6" w:type="dxa"/>
          </w:tcPr>
          <w:p w:rsidR="007C2451" w:rsidRPr="007C2451" w:rsidRDefault="007C2451" w:rsidP="007C24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451" w:rsidRPr="007C2451" w:rsidRDefault="007C2451" w:rsidP="007C24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2451" w:rsidRPr="007C2451" w:rsidRDefault="007C2451" w:rsidP="007C2451"/>
    <w:p w:rsidR="007C2451" w:rsidRPr="007C2451" w:rsidRDefault="007C2451" w:rsidP="007C2451"/>
    <w:p w:rsidR="00947E6D" w:rsidRDefault="00947E6D"/>
    <w:sectPr w:rsidR="00947E6D" w:rsidSect="00986843">
      <w:headerReference w:type="even" r:id="rId8"/>
      <w:headerReference w:type="default" r:id="rId9"/>
      <w:headerReference w:type="first" r:id="rId10"/>
      <w:pgSz w:w="11907" w:h="16840" w:code="9"/>
      <w:pgMar w:top="1134" w:right="851" w:bottom="964" w:left="1559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B06" w:rsidRDefault="009C1B06" w:rsidP="007C2451">
      <w:pPr>
        <w:spacing w:after="0" w:line="240" w:lineRule="auto"/>
      </w:pPr>
      <w:r>
        <w:separator/>
      </w:r>
    </w:p>
  </w:endnote>
  <w:endnote w:type="continuationSeparator" w:id="0">
    <w:p w:rsidR="009C1B06" w:rsidRDefault="009C1B06" w:rsidP="007C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B06" w:rsidRDefault="009C1B06" w:rsidP="007C2451">
      <w:pPr>
        <w:spacing w:after="0" w:line="240" w:lineRule="auto"/>
      </w:pPr>
      <w:r>
        <w:separator/>
      </w:r>
    </w:p>
  </w:footnote>
  <w:footnote w:type="continuationSeparator" w:id="0">
    <w:p w:rsidR="009C1B06" w:rsidRDefault="009C1B06" w:rsidP="007C2451">
      <w:pPr>
        <w:spacing w:after="0" w:line="240" w:lineRule="auto"/>
      </w:pPr>
      <w:r>
        <w:continuationSeparator/>
      </w:r>
    </w:p>
  </w:footnote>
  <w:footnote w:id="1">
    <w:p w:rsidR="007C2451" w:rsidRDefault="007C2451" w:rsidP="007C2451">
      <w:pPr>
        <w:pStyle w:val="a6"/>
      </w:pPr>
      <w:r w:rsidRPr="00442FB4">
        <w:rPr>
          <w:rStyle w:val="a8"/>
          <w:rFonts w:ascii="Times New Roman" w:hAnsi="Times New Roman"/>
          <w:sz w:val="24"/>
          <w:szCs w:val="24"/>
        </w:rPr>
        <w:t>*</w:t>
      </w:r>
      <w:r w:rsidRPr="00442FB4">
        <w:rPr>
          <w:rFonts w:ascii="Times New Roman" w:hAnsi="Times New Roman"/>
          <w:sz w:val="24"/>
          <w:szCs w:val="24"/>
        </w:rPr>
        <w:t xml:space="preserve"> Раздел носит описательный характер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9C1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BD4CC2" w:rsidRDefault="009C1B0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9C1B0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2451">
      <w:rPr>
        <w:rStyle w:val="a5"/>
        <w:noProof/>
      </w:rPr>
      <w:t>5</w:t>
    </w:r>
    <w:r>
      <w:rPr>
        <w:rStyle w:val="a5"/>
      </w:rPr>
      <w:fldChar w:fldCharType="end"/>
    </w:r>
  </w:p>
  <w:p w:rsidR="00BD4CC2" w:rsidRDefault="009C1B0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CC2" w:rsidRDefault="009C1B06" w:rsidP="002412B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560DAD"/>
    <w:multiLevelType w:val="hybridMultilevel"/>
    <w:tmpl w:val="BB1EEE34"/>
    <w:lvl w:ilvl="0" w:tplc="E28A725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BC"/>
    <w:rsid w:val="003475BC"/>
    <w:rsid w:val="007C2451"/>
    <w:rsid w:val="00947E6D"/>
    <w:rsid w:val="009C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B132"/>
  <w15:chartTrackingRefBased/>
  <w15:docId w15:val="{3789081D-B6AC-40E3-9D6D-A147E8E3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2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51"/>
  </w:style>
  <w:style w:type="character" w:styleId="a5">
    <w:name w:val="page number"/>
    <w:basedOn w:val="a0"/>
    <w:uiPriority w:val="99"/>
    <w:rsid w:val="007C2451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7C245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C2451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basedOn w:val="a0"/>
    <w:uiPriority w:val="99"/>
    <w:semiHidden/>
    <w:rsid w:val="007C245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3D1BA33B305F772F855AC14D169D72575B72E3FD79C6E7841CC502DFF4C54BB5C783573B32BY8k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1062</Words>
  <Characters>6056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2023-12-15T07:51:00Z</dcterms:created>
  <dcterms:modified xsi:type="dcterms:W3CDTF">2023-12-15T07:52:00Z</dcterms:modified>
</cp:coreProperties>
</file>